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0C9B" w14:textId="21680074" w:rsidR="008F128B" w:rsidRPr="008F128B" w:rsidRDefault="00D71DFB" w:rsidP="00D71DFB">
      <w:pPr>
        <w:pStyle w:val="a4"/>
        <w:spacing w:before="0" w:beforeAutospacing="0" w:after="160" w:afterAutospacing="0" w:line="252" w:lineRule="auto"/>
        <w:jc w:val="both"/>
        <w:rPr>
          <w:b/>
        </w:rPr>
      </w:pPr>
      <w:r w:rsidRPr="00D71DFB">
        <w:rPr>
          <w:b/>
        </w:rPr>
        <w:t>Какие документы необходимо указать и приложить при подаче обращения (жалобы)?</w:t>
      </w:r>
    </w:p>
    <w:p w14:paraId="51710106" w14:textId="5F158489" w:rsidR="00D71DFB" w:rsidRPr="00D71DFB" w:rsidRDefault="00D71DFB" w:rsidP="00D71DFB">
      <w:pPr>
        <w:numPr>
          <w:ilvl w:val="0"/>
          <w:numId w:val="2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>
        <w:rPr>
          <w:rStyle w:val="a6"/>
        </w:rPr>
        <w:t>Но</w:t>
      </w:r>
      <w:r w:rsidRPr="00D71DFB">
        <w:rPr>
          <w:rStyle w:val="a6"/>
        </w:rPr>
        <w:t>мер договора (полиса), заключенного между потребителем страховых услуг и страховой организацией;</w:t>
      </w:r>
    </w:p>
    <w:p w14:paraId="77412ABA" w14:textId="77777777" w:rsidR="00D71DFB" w:rsidRPr="00D71DFB" w:rsidRDefault="00D71DFB" w:rsidP="00D71DFB">
      <w:pPr>
        <w:numPr>
          <w:ilvl w:val="0"/>
          <w:numId w:val="2"/>
        </w:numPr>
        <w:spacing w:before="240"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1A1122D3" w14:textId="77777777" w:rsidR="00D71DFB" w:rsidRPr="00D71DFB" w:rsidRDefault="00D71DFB" w:rsidP="00D71DFB">
      <w:pPr>
        <w:numPr>
          <w:ilvl w:val="0"/>
          <w:numId w:val="2"/>
        </w:numPr>
        <w:spacing w:before="240"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наименование подразделения, должности, фамилии, имени, отчества (при наличии) работника страховой организации, действия (бездействия) которого обжалуются;</w:t>
      </w:r>
    </w:p>
    <w:p w14:paraId="1E71B8DE" w14:textId="77777777" w:rsidR="00D71DFB" w:rsidRPr="00D71DFB" w:rsidRDefault="00D71DFB" w:rsidP="00D71DFB">
      <w:pPr>
        <w:numPr>
          <w:ilvl w:val="0"/>
          <w:numId w:val="2"/>
        </w:numPr>
        <w:spacing w:before="240"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копии документов, подтверждающих изложенные в обращении обстоятельства.</w:t>
      </w:r>
    </w:p>
    <w:p w14:paraId="60A627D6" w14:textId="61532352" w:rsidR="00D71DFB" w:rsidRDefault="00D71DFB" w:rsidP="008F128B">
      <w:pPr>
        <w:jc w:val="both"/>
        <w:rPr>
          <w:rStyle w:val="a6"/>
        </w:rPr>
      </w:pPr>
    </w:p>
    <w:p w14:paraId="4D7ED947" w14:textId="712591CA" w:rsidR="00D71DFB" w:rsidRDefault="00D71DFB" w:rsidP="00AF6442">
      <w:pPr>
        <w:jc w:val="both"/>
        <w:rPr>
          <w:rStyle w:val="a6"/>
        </w:rPr>
      </w:pPr>
    </w:p>
    <w:p w14:paraId="4956E70C" w14:textId="0DBB54D2" w:rsidR="00D71DFB" w:rsidRPr="00D71DFB" w:rsidRDefault="00D71DFB" w:rsidP="00AF6442">
      <w:pPr>
        <w:jc w:val="both"/>
        <w:rPr>
          <w:b/>
          <w:i/>
          <w:iCs/>
        </w:rPr>
      </w:pPr>
      <w:r w:rsidRPr="00D71DFB">
        <w:rPr>
          <w:b/>
        </w:rPr>
        <w:t>Ответ на обращение не дается в следующих случаях:</w:t>
      </w:r>
    </w:p>
    <w:p w14:paraId="68300CE5" w14:textId="77777777" w:rsidR="00D71DFB" w:rsidRDefault="00D71DFB" w:rsidP="00AF6442">
      <w:pPr>
        <w:jc w:val="both"/>
        <w:rPr>
          <w:rStyle w:val="a6"/>
        </w:rPr>
      </w:pPr>
    </w:p>
    <w:p w14:paraId="73D56F8D" w14:textId="7FD65BDF" w:rsidR="00D71DFB" w:rsidRDefault="00D71DFB" w:rsidP="00AF6442">
      <w:pPr>
        <w:numPr>
          <w:ilvl w:val="0"/>
          <w:numId w:val="4"/>
        </w:numPr>
        <w:spacing w:line="360" w:lineRule="atLeast"/>
        <w:ind w:hanging="436"/>
        <w:jc w:val="both"/>
        <w:textAlignment w:val="baseline"/>
        <w:rPr>
          <w:rStyle w:val="a6"/>
        </w:rPr>
      </w:pPr>
      <w:r w:rsidRPr="00D71DFB">
        <w:rPr>
          <w:rStyle w:val="a6"/>
        </w:rPr>
        <w:t>в обращении недостаточно данных для определения получателя страховых услуг;</w:t>
      </w:r>
    </w:p>
    <w:p w14:paraId="70E51128" w14:textId="77777777" w:rsidR="00D71DFB" w:rsidRDefault="00D71DFB" w:rsidP="00AF6442">
      <w:pPr>
        <w:spacing w:line="360" w:lineRule="atLeast"/>
        <w:ind w:left="284"/>
        <w:jc w:val="both"/>
        <w:textAlignment w:val="baseline"/>
        <w:rPr>
          <w:rStyle w:val="a6"/>
        </w:rPr>
      </w:pPr>
    </w:p>
    <w:p w14:paraId="5E257758" w14:textId="1ED01D80" w:rsidR="00D71DFB" w:rsidRDefault="00D71DFB" w:rsidP="00AF6442">
      <w:pPr>
        <w:numPr>
          <w:ilvl w:val="0"/>
          <w:numId w:val="4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текст обращения не поддается прочтению;</w:t>
      </w:r>
    </w:p>
    <w:p w14:paraId="2C94F821" w14:textId="77777777" w:rsidR="00D71DFB" w:rsidRDefault="00D71DFB" w:rsidP="00AF6442">
      <w:pPr>
        <w:pStyle w:val="af3"/>
        <w:jc w:val="both"/>
        <w:rPr>
          <w:rStyle w:val="a6"/>
        </w:rPr>
      </w:pPr>
    </w:p>
    <w:p w14:paraId="5E606660" w14:textId="04B5B133" w:rsidR="00D71DFB" w:rsidRDefault="00D71DFB" w:rsidP="00AF6442">
      <w:pPr>
        <w:numPr>
          <w:ilvl w:val="0"/>
          <w:numId w:val="4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в обращении содержатся только те вопросы, на которые получателю страховых услуг ранее давался ответ по существу, и при этом в обращении не приводятся новые доводы;</w:t>
      </w:r>
    </w:p>
    <w:p w14:paraId="5DF53097" w14:textId="77777777" w:rsidR="00D71DFB" w:rsidRDefault="00D71DFB" w:rsidP="00AF6442">
      <w:pPr>
        <w:pStyle w:val="af3"/>
        <w:jc w:val="both"/>
        <w:rPr>
          <w:rStyle w:val="a6"/>
        </w:rPr>
      </w:pPr>
    </w:p>
    <w:p w14:paraId="334450EF" w14:textId="225604FF" w:rsidR="00D71DFB" w:rsidRDefault="00D71DFB" w:rsidP="00AF6442">
      <w:pPr>
        <w:numPr>
          <w:ilvl w:val="0"/>
          <w:numId w:val="4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в обращении содержатся нецензурные либо оскорбительные выражения, угрозы имуществу страховой организации, имуществу, жизни и (или) здоровью работников страховой организации, а также членов их семей;</w:t>
      </w:r>
    </w:p>
    <w:p w14:paraId="00E86C42" w14:textId="77777777" w:rsidR="00D71DFB" w:rsidRDefault="00D71DFB" w:rsidP="00AF6442">
      <w:pPr>
        <w:pStyle w:val="af3"/>
        <w:jc w:val="both"/>
        <w:rPr>
          <w:rStyle w:val="a6"/>
        </w:rPr>
      </w:pPr>
    </w:p>
    <w:p w14:paraId="5EE1B56B" w14:textId="6F8DD83F" w:rsidR="00D71DFB" w:rsidRDefault="00D71DFB" w:rsidP="00AF6442">
      <w:pPr>
        <w:numPr>
          <w:ilvl w:val="0"/>
          <w:numId w:val="4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обращение является рекламой и (или) обладает признаками массовой (спам-) рассылки;</w:t>
      </w:r>
    </w:p>
    <w:p w14:paraId="3A72BB7E" w14:textId="77777777" w:rsidR="00D71DFB" w:rsidRDefault="00D71DFB" w:rsidP="00AF6442">
      <w:pPr>
        <w:pStyle w:val="af3"/>
        <w:jc w:val="both"/>
        <w:rPr>
          <w:rStyle w:val="a6"/>
        </w:rPr>
      </w:pPr>
    </w:p>
    <w:p w14:paraId="13F9A67C" w14:textId="77777777" w:rsidR="00D71DFB" w:rsidRPr="00D71DFB" w:rsidRDefault="00D71DFB" w:rsidP="00AF6442">
      <w:pPr>
        <w:numPr>
          <w:ilvl w:val="0"/>
          <w:numId w:val="4"/>
        </w:numPr>
        <w:spacing w:line="360" w:lineRule="atLeast"/>
        <w:ind w:left="15" w:firstLine="269"/>
        <w:jc w:val="both"/>
        <w:textAlignment w:val="baseline"/>
        <w:rPr>
          <w:rStyle w:val="a6"/>
        </w:rPr>
      </w:pPr>
      <w:r w:rsidRPr="00D71DFB">
        <w:rPr>
          <w:rStyle w:val="a6"/>
        </w:rPr>
        <w:t>из обращения прямо следует, что оно не требует ответа.</w:t>
      </w:r>
    </w:p>
    <w:p w14:paraId="6B74AA00" w14:textId="77777777" w:rsidR="00D71DFB" w:rsidRPr="00D71DFB" w:rsidRDefault="00D71DFB" w:rsidP="00AF6442">
      <w:pPr>
        <w:spacing w:line="360" w:lineRule="atLeast"/>
        <w:ind w:left="284"/>
        <w:jc w:val="both"/>
        <w:textAlignment w:val="baseline"/>
        <w:rPr>
          <w:rStyle w:val="a6"/>
        </w:rPr>
      </w:pPr>
      <w:r w:rsidRPr="00D71DFB">
        <w:rPr>
          <w:rStyle w:val="a6"/>
        </w:rPr>
        <w:br/>
      </w:r>
      <w:r w:rsidRPr="008B33D9">
        <w:rPr>
          <w:rStyle w:val="a6"/>
        </w:rPr>
        <w:t>Обращение, в котором обжалуется судебное решение, возвращается лицу, направившему обращение, с разъяснением порядка обжалования данного судебного решения.</w:t>
      </w:r>
    </w:p>
    <w:p w14:paraId="3C100B8E" w14:textId="77777777" w:rsidR="00D71DFB" w:rsidRDefault="00D71DFB" w:rsidP="008F128B">
      <w:pPr>
        <w:jc w:val="both"/>
        <w:rPr>
          <w:rStyle w:val="a6"/>
        </w:rPr>
      </w:pPr>
    </w:p>
    <w:p w14:paraId="3A29E96A" w14:textId="77777777" w:rsidR="00D71DFB" w:rsidRDefault="00D71DFB" w:rsidP="008F128B">
      <w:pPr>
        <w:jc w:val="both"/>
        <w:rPr>
          <w:rStyle w:val="a6"/>
        </w:rPr>
      </w:pPr>
      <w:bookmarkStart w:id="0" w:name="_GoBack"/>
      <w:bookmarkEnd w:id="0"/>
    </w:p>
    <w:sectPr w:rsidR="00D71DFB" w:rsidSect="008C70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3984B" w14:textId="77777777" w:rsidR="00175F23" w:rsidRDefault="00175F23" w:rsidP="00A17A2B">
      <w:r>
        <w:separator/>
      </w:r>
    </w:p>
  </w:endnote>
  <w:endnote w:type="continuationSeparator" w:id="0">
    <w:p w14:paraId="2F90520D" w14:textId="77777777" w:rsidR="00175F23" w:rsidRDefault="00175F23" w:rsidP="00A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94CC" w14:textId="664CC37F" w:rsidR="00A17A2B" w:rsidRPr="00A17A2B" w:rsidRDefault="00A17A2B" w:rsidP="00A17A2B">
    <w:pPr>
      <w:pStyle w:val="af1"/>
      <w:ind w:hanging="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29FB" w14:textId="3DE22857" w:rsidR="008C70F5" w:rsidRDefault="008C70F5" w:rsidP="008C70F5">
    <w:pPr>
      <w:pStyle w:val="af1"/>
      <w:ind w:hanging="1701"/>
    </w:pPr>
    <w:r>
      <w:rPr>
        <w:noProof/>
      </w:rPr>
      <w:drawing>
        <wp:inline distT="0" distB="0" distL="0" distR="0" wp14:anchorId="283257AA" wp14:editId="173EFBC0">
          <wp:extent cx="7563600" cy="943200"/>
          <wp:effectExtent l="0" t="0" r="0" b="9525"/>
          <wp:docPr id="3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8006" w14:textId="77777777" w:rsidR="00175F23" w:rsidRDefault="00175F23" w:rsidP="00A17A2B">
      <w:r>
        <w:separator/>
      </w:r>
    </w:p>
  </w:footnote>
  <w:footnote w:type="continuationSeparator" w:id="0">
    <w:p w14:paraId="7FD49761" w14:textId="77777777" w:rsidR="00175F23" w:rsidRDefault="00175F23" w:rsidP="00A1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0021" w14:textId="16AF06BD" w:rsidR="00A17A2B" w:rsidRDefault="00A17A2B" w:rsidP="00A17A2B">
    <w:pPr>
      <w:pStyle w:val="af"/>
      <w:ind w:hanging="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D10C" w14:textId="2AEF97DA" w:rsidR="008C70F5" w:rsidRDefault="008C70F5" w:rsidP="008C70F5">
    <w:pPr>
      <w:pStyle w:val="af"/>
      <w:ind w:hanging="1701"/>
    </w:pPr>
    <w:r>
      <w:rPr>
        <w:noProof/>
      </w:rPr>
      <w:drawing>
        <wp:inline distT="0" distB="0" distL="0" distR="0" wp14:anchorId="44A15D90" wp14:editId="4FE81D0B">
          <wp:extent cx="7776000" cy="1472400"/>
          <wp:effectExtent l="0" t="0" r="0" b="0"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0C4"/>
    <w:multiLevelType w:val="multilevel"/>
    <w:tmpl w:val="AF32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506FC"/>
    <w:multiLevelType w:val="multilevel"/>
    <w:tmpl w:val="AF32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A245F"/>
    <w:multiLevelType w:val="multilevel"/>
    <w:tmpl w:val="1698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A64C4"/>
    <w:multiLevelType w:val="hybridMultilevel"/>
    <w:tmpl w:val="A0428C88"/>
    <w:lvl w:ilvl="0" w:tplc="DCB838A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8B"/>
    <w:rsid w:val="0002352A"/>
    <w:rsid w:val="00105B24"/>
    <w:rsid w:val="00107FE9"/>
    <w:rsid w:val="00135F9E"/>
    <w:rsid w:val="00143846"/>
    <w:rsid w:val="00175F23"/>
    <w:rsid w:val="001F4168"/>
    <w:rsid w:val="0025231A"/>
    <w:rsid w:val="0026552E"/>
    <w:rsid w:val="0028322F"/>
    <w:rsid w:val="002F3806"/>
    <w:rsid w:val="003613AE"/>
    <w:rsid w:val="003B2243"/>
    <w:rsid w:val="003C65D4"/>
    <w:rsid w:val="003E6F0D"/>
    <w:rsid w:val="004461F6"/>
    <w:rsid w:val="005118DC"/>
    <w:rsid w:val="005C127A"/>
    <w:rsid w:val="006B27A1"/>
    <w:rsid w:val="00732909"/>
    <w:rsid w:val="008A5C31"/>
    <w:rsid w:val="008B33D9"/>
    <w:rsid w:val="008C70F5"/>
    <w:rsid w:val="008F128B"/>
    <w:rsid w:val="00990D3C"/>
    <w:rsid w:val="009F08DB"/>
    <w:rsid w:val="00A17A2B"/>
    <w:rsid w:val="00A318FA"/>
    <w:rsid w:val="00A924BB"/>
    <w:rsid w:val="00AB66EC"/>
    <w:rsid w:val="00AF6442"/>
    <w:rsid w:val="00B5436E"/>
    <w:rsid w:val="00CD3088"/>
    <w:rsid w:val="00D327AD"/>
    <w:rsid w:val="00D71DFB"/>
    <w:rsid w:val="00DF1944"/>
    <w:rsid w:val="00F426B9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700C7"/>
  <w15:chartTrackingRefBased/>
  <w15:docId w15:val="{2E7ECCC0-9EB9-4C21-9580-9048820B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28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2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12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F128B"/>
    <w:rPr>
      <w:b/>
      <w:bCs/>
    </w:rPr>
  </w:style>
  <w:style w:type="character" w:styleId="a6">
    <w:name w:val="Emphasis"/>
    <w:basedOn w:val="a0"/>
    <w:uiPriority w:val="20"/>
    <w:qFormat/>
    <w:rsid w:val="008F128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F6A6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118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18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18DC"/>
    <w:rPr>
      <w:rFonts w:ascii="Calibri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18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18DC"/>
    <w:rPr>
      <w:rFonts w:ascii="Calibri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18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18DC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A17A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7A2B"/>
    <w:rPr>
      <w:rFonts w:ascii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A17A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7A2B"/>
    <w:rPr>
      <w:rFonts w:ascii="Calibri" w:hAnsi="Calibri" w:cs="Calibri"/>
      <w:lang w:eastAsia="ru-RU"/>
    </w:rPr>
  </w:style>
  <w:style w:type="paragraph" w:styleId="af3">
    <w:name w:val="List Paragraph"/>
    <w:basedOn w:val="a"/>
    <w:uiPriority w:val="34"/>
    <w:qFormat/>
    <w:rsid w:val="00D7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7D4E-4145-4D77-BC07-9652994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Вялкова</dc:creator>
  <cp:keywords/>
  <dc:description/>
  <cp:lastModifiedBy>Екатерина Воробьева</cp:lastModifiedBy>
  <cp:revision>2</cp:revision>
  <cp:lastPrinted>2023-03-28T14:38:00Z</cp:lastPrinted>
  <dcterms:created xsi:type="dcterms:W3CDTF">2024-05-14T12:33:00Z</dcterms:created>
  <dcterms:modified xsi:type="dcterms:W3CDTF">2024-05-14T12:33:00Z</dcterms:modified>
</cp:coreProperties>
</file>